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Rule="exact" w:line="360"/>
        <w:ind w:firstLine="0"/>
        <w:jc w:val="center"/>
      </w:pPr>
      <w:r>
        <w:rPr>
          <w:rFonts w:ascii="KaiTi" w:hAnsi="KaiTi" w:eastAsia="KaiTi"/>
          <w:b w:val="0"/>
          <w:i w:val="0"/>
          <w:color w:val="3554D4"/>
          <w:sz w:val="22"/>
        </w:rPr>
        <w:t>第5层　企业自身规范　·　教材示例</w:t>
      </w:r>
    </w:p>
    <w:p>
      <w:pPr>
        <w:spacing w:before="120" w:after="80" w:lineRule="exact" w:line="560"/>
        <w:ind w:firstLine="0"/>
        <w:jc w:val="center"/>
      </w:pPr>
      <w:r>
        <w:rPr>
          <w:rFonts w:ascii="Times New Roman" w:hAnsi="Times New Roman" w:eastAsia="SimHei"/>
          <w:b/>
          <w:i w:val="0"/>
          <w:sz w:val="36"/>
        </w:rPr>
        <w:t>九点圆科技会计信息化管理制度要点</w:t>
      </w:r>
    </w:p>
    <w:p>
      <w:pPr>
        <w:spacing w:before="0" w:after="80" w:lineRule="exact" w:line="400"/>
        <w:ind w:firstLine="0"/>
        <w:jc w:val="center"/>
      </w:pPr>
      <w:r>
        <w:rPr>
          <w:rFonts w:ascii="KaiTi" w:hAnsi="KaiTi" w:eastAsia="KaiTi"/>
          <w:b w:val="0"/>
          <w:i w:val="0"/>
          <w:sz w:val="24"/>
        </w:rPr>
        <w:t>教材示例</w:t>
      </w:r>
    </w:p>
    <w:p>
      <w:pPr>
        <w:spacing w:before="0" w:after="200" w:lineRule="exact" w:line="360"/>
        <w:ind w:firstLine="0"/>
        <w:jc w:val="center"/>
      </w:pPr>
      <w:r>
        <w:rPr>
          <w:rFonts w:ascii="FangSong" w:hAnsi="FangSong" w:eastAsia="FangSong"/>
          <w:b w:val="0"/>
          <w:i w:val="0"/>
          <w:color w:val="5A4D66"/>
          <w:sz w:val="21"/>
        </w:rPr>
        <w:t>教材示例，不是国家文件　｜　供任务二方案验收对照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性质：教材示例，不是国家文件。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依据：财会〔2024〕11号第十一条、第十六条至第十八条、第三十一条、第三十八条；财会〔2024〕12号第二十一条、第三十二条、第三十五条。</w:t>
      </w:r>
    </w:p>
    <w:p>
      <w:pPr>
        <w:spacing w:before="0" w:after="40" w:lineRule="exact" w:line="360"/>
        <w:ind w:firstLine="0"/>
      </w:pPr>
      <w:r>
        <w:rPr>
          <w:rFonts w:ascii="KaiTi" w:hAnsi="KaiTi" w:eastAsia="KaiTi"/>
          <w:b w:val="0"/>
          <w:i/>
          <w:color w:val="6B5D7A"/>
          <w:sz w:val="21"/>
        </w:rPr>
        <w:t>用途：把部门规范落到账号、权限、备份和归档，供任务二方案验收对照。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一、系统与账套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选用符合《会计法》和12号文的会计软件。核算执行《小企业会计准则》。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系统管理员负责建账、授权、备份路径，不办理日常制单、审核、出纳。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账套主管由会计主管担任，管理本账套科目、期间和人员权限，不使用系统管理员口令办理日常核算。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二、账号与权限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一人一号，实名使用。禁止财务三人共用管理员账号或共用制单账号。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权限按岗位配置，并与纸质权限表一致。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账号角色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人员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/>
                <w:i w:val="0"/>
                <w:sz w:val="18"/>
              </w:rPr>
              <w:t>主要权限</w:t>
            </w:r>
          </w:p>
        </w:tc>
      </w:tr>
      <w:tr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制单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张嘉莉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填制凭证、查询科目余额；无审核、无出纳签字、无结账</w:t>
            </w:r>
          </w:p>
        </w:tc>
      </w:tr>
      <w:tr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审核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张思怡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审核凭证、查询账表；无出纳、无随意改他人已审凭证</w:t>
            </w:r>
          </w:p>
        </w:tc>
      </w:tr>
      <w:tr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出纳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王慧敏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出纳签字、登记日记账、银行对账；无凭证审核、无档案保管</w:t>
            </w:r>
          </w:p>
        </w:tc>
      </w:tr>
      <w:tr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账套主管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张思怡（兼）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本账套基础档案、期间管理；授权变更须书面记录</w:t>
            </w:r>
          </w:p>
        </w:tc>
      </w:tr>
      <w:tr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系统管理员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指定专人（非出纳）</w:t>
            </w:r>
          </w:p>
        </w:tc>
        <w:tc>
          <w:tcPr>
            <w:tcW w:type="dxa" w:w="2986"/>
          </w:tcPr>
          <w:p>
            <w:pPr>
              <w:spacing w:before="40" w:after="40" w:lineRule="exact" w:line="320"/>
              <w:ind w:firstLine="0"/>
            </w:pPr>
            <w:r/>
            <w:r>
              <w:rPr>
                <w:rFonts w:ascii="Times New Roman" w:hAnsi="Times New Roman" w:eastAsia="SimSun"/>
                <w:b w:val="0"/>
                <w:i w:val="0"/>
                <w:sz w:val="18"/>
              </w:rPr>
              <w:t>建账、用户、备份；不处理日常经济业务</w:t>
            </w:r>
          </w:p>
        </w:tc>
      </w:tr>
    </w:tbl>
    <w:p>
      <w:pPr>
        <w:spacing w:before="0" w:after="160" w:lineRule="exact" w:line="200"/>
        <w:ind w:firstLine="0"/>
      </w:pP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授权变更、口令重置须由单位负责人或账套主管批准，并在操作日志中可查。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三、操作规程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电子原始凭证须验证来源后入账，防止重复报销。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以打印件报销的，同时保存电子原文件，并建立检索关系。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结账前，系统须检查本期凭证是否全部审核入账。未审核不得结账。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4. 已记账凭证不得删除、插入，不得改日期、金额、科目、操作人。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四、备份与安全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账套每日自动备份，每周将一份备份复制到本机以外的存储介质。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备份保留不少于最近12个月；年度归档备份随会计档案保管。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恢复备份须两人在场，并登记原因、时间和操作人。</w:t>
      </w:r>
    </w:p>
    <w:p>
      <w:pPr>
        <w:spacing w:before="240" w:after="120" w:lineRule="exact" w:line="480"/>
        <w:ind w:firstLine="0"/>
      </w:pPr>
      <w:r>
        <w:rPr>
          <w:rFonts w:ascii="Times New Roman" w:hAnsi="Times New Roman" w:eastAsia="SimHei"/>
          <w:b/>
          <w:i w:val="0"/>
          <w:sz w:val="32"/>
        </w:rPr>
        <w:t>五、电子资料归档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1. 数电发票、网银回单、合同号进入核算后，与记账凭证一并归档。电子文件与元数据一并归档，符合《电子档案管理办法》（国家档案局令第22号）来源可靠、程序规范、要素合规。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2. 以电子凭证纸质打印件报销入账的，必须同时保存电子原件（财会〔2020〕6号）。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3. 出纳不得兼管会计档案。</w:t>
      </w:r>
    </w:p>
    <w:p>
      <w:pPr>
        <w:spacing w:before="0" w:after="60" w:lineRule="exact" w:line="440"/>
        <w:ind w:firstLine="420"/>
      </w:pPr>
      <w:r>
        <w:rPr>
          <w:rFonts w:ascii="Times New Roman" w:hAnsi="Times New Roman" w:eastAsia="FangSong"/>
          <w:b w:val="0"/>
          <w:i w:val="0"/>
          <w:sz w:val="24"/>
        </w:rPr>
        <w:t>4. 保管期限按《会计档案管理办法》附表执行：凭证、账簿30年，年度报告永久。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KaiTi"/>
        <w:b w:val="0"/>
        <w:i w:val="0"/>
        <w:color w:val="6B5D7A"/>
        <w:sz w:val="16"/>
      </w:rPr>
      <w:t>教学转写文本，引用请与全国人大、财政部、国务院公报正式文本核对。　扬州职业技术大学经贸学院吴强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KaiTi"/>
        <w:b w:val="0"/>
        <w:i w:val="0"/>
        <w:color w:val="6B5D7A"/>
        <w:sz w:val="18"/>
      </w:rPr>
      <w:t>会计信息化 · 实施规范　图4-1 第5层　企业自身规范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FangSong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九点圆科技会计信息化管理制度要点</dc:title>
  <dc:subject>会计信息化实施规范 · 图4-1 第5层</dc:subject>
  <dc:creator>扬州职业技术大学经贸学院吴强</dc:creator>
  <cp:keywords/>
  <dc:description>据公开政府网站转写，供教材与课堂对照。定稿或对外引用须核对正式文本。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