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Rule="exact" w:line="360"/>
        <w:ind w:firstLine="0"/>
        <w:jc w:val="center"/>
      </w:pPr>
      <w:r>
        <w:rPr>
          <w:rFonts w:ascii="KaiTi" w:hAnsi="KaiTi" w:eastAsia="KaiTi"/>
          <w:b w:val="0"/>
          <w:i w:val="0"/>
          <w:color w:val="3554D4"/>
          <w:sz w:val="22"/>
        </w:rPr>
        <w:t>第5层　企业自身规范　·　教材示例</w:t>
      </w:r>
    </w:p>
    <w:p>
      <w:pPr>
        <w:spacing w:before="120" w:after="80" w:lineRule="exact" w:line="560"/>
        <w:ind w:firstLine="0"/>
        <w:jc w:val="center"/>
      </w:pPr>
      <w:r>
        <w:rPr>
          <w:rFonts w:ascii="Times New Roman" w:hAnsi="Times New Roman" w:eastAsia="SimHei"/>
          <w:b/>
          <w:i w:val="0"/>
          <w:sz w:val="36"/>
        </w:rPr>
        <w:t>九点圆科技内部会计监督制度要点</w:t>
      </w:r>
    </w:p>
    <w:p>
      <w:pPr>
        <w:spacing w:before="0" w:after="80" w:lineRule="exact" w:line="400"/>
        <w:ind w:firstLine="0"/>
        <w:jc w:val="center"/>
      </w:pPr>
      <w:r>
        <w:rPr>
          <w:rFonts w:ascii="KaiTi" w:hAnsi="KaiTi" w:eastAsia="KaiTi"/>
          <w:b w:val="0"/>
          <w:i w:val="0"/>
          <w:sz w:val="24"/>
        </w:rPr>
        <w:t>教材示例</w:t>
      </w:r>
    </w:p>
    <w:p>
      <w:pPr>
        <w:spacing w:before="0" w:after="200" w:lineRule="exact" w:line="360"/>
        <w:ind w:firstLine="0"/>
        <w:jc w:val="center"/>
      </w:pPr>
      <w:r>
        <w:rPr>
          <w:rFonts w:ascii="FangSong" w:hAnsi="FangSong" w:eastAsia="FangSong"/>
          <w:b w:val="0"/>
          <w:i w:val="0"/>
          <w:color w:val="5A4D66"/>
          <w:sz w:val="21"/>
        </w:rPr>
        <w:t>教材示例，不是国家文件　｜　供任务一分层、任务二编制权限表对照</w:t>
      </w:r>
    </w:p>
    <w:p>
      <w:pPr>
        <w:spacing w:before="0" w:after="40" w:lineRule="exact" w:line="360"/>
        <w:ind w:firstLine="0"/>
      </w:pPr>
      <w:r>
        <w:rPr>
          <w:rFonts w:ascii="KaiTi" w:hAnsi="KaiTi" w:eastAsia="KaiTi"/>
          <w:b w:val="0"/>
          <w:i/>
          <w:color w:val="6B5D7A"/>
          <w:sz w:val="21"/>
        </w:rPr>
        <w:t>性质：教材示例，不是国家文件，也不是该公司对外公布的正式制度。</w:t>
      </w:r>
    </w:p>
    <w:p>
      <w:pPr>
        <w:spacing w:before="0" w:after="40" w:lineRule="exact" w:line="360"/>
        <w:ind w:firstLine="0"/>
      </w:pPr>
      <w:r>
        <w:rPr>
          <w:rFonts w:ascii="KaiTi" w:hAnsi="KaiTi" w:eastAsia="KaiTi"/>
          <w:b w:val="0"/>
          <w:i/>
          <w:color w:val="6B5D7A"/>
          <w:sz w:val="21"/>
        </w:rPr>
        <w:t>依据：《会计法》第二十五条、第三十五条；《小企业内部控制规范（试行）》第十六条至第二十一条。</w:t>
      </w:r>
    </w:p>
    <w:p>
      <w:pPr>
        <w:spacing w:before="0" w:after="40" w:lineRule="exact" w:line="360"/>
        <w:ind w:firstLine="0"/>
      </w:pPr>
      <w:r>
        <w:rPr>
          <w:rFonts w:ascii="KaiTi" w:hAnsi="KaiTi" w:eastAsia="KaiTi"/>
          <w:b w:val="0"/>
          <w:i/>
          <w:color w:val="6B5D7A"/>
          <w:sz w:val="21"/>
        </w:rPr>
        <w:t>用途：任务一解释「企业自身规范」；任务二编制内部控制规划与权限表。</w:t>
      </w:r>
    </w:p>
    <w:p>
      <w:pPr>
        <w:spacing w:before="0" w:after="12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单位负责人朱静萱对本单位会计工作和会计资料的真实性、完整性负责。本制度纳入公司内部控制，财务三人按岗执行。</w:t>
      </w:r>
    </w:p>
    <w:p>
      <w:pPr>
        <w:spacing w:before="240" w:after="120" w:lineRule="exact" w:line="480"/>
        <w:ind w:firstLine="0"/>
      </w:pPr>
      <w:r>
        <w:rPr>
          <w:rFonts w:ascii="Times New Roman" w:hAnsi="Times New Roman" w:eastAsia="SimHei"/>
          <w:b/>
          <w:i w:val="0"/>
          <w:sz w:val="32"/>
        </w:rPr>
        <w:t>一、岗位分离</w:t>
      </w:r>
    </w:p>
    <w:p>
      <w:pPr>
        <w:spacing w:before="0" w:after="12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记账人员与审批人员、经办人员、财物保管人员的职责权限应当明确，并相互分离、相互制约。人员较少可以兼岗，但不能取消分离。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39"/>
        <w:gridCol w:w="2239"/>
        <w:gridCol w:w="2239"/>
        <w:gridCol w:w="2239"/>
      </w:tblGrid>
      <w:tr>
        <w:tc>
          <w:tcPr>
            <w:tcW w:type="dxa" w:w="2239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/>
                <w:i w:val="0"/>
                <w:sz w:val="18"/>
              </w:rPr>
              <w:t>岗位</w:t>
            </w:r>
          </w:p>
        </w:tc>
        <w:tc>
          <w:tcPr>
            <w:tcW w:type="dxa" w:w="2239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/>
                <w:i w:val="0"/>
                <w:sz w:val="18"/>
              </w:rPr>
              <w:t>人员</w:t>
            </w:r>
          </w:p>
        </w:tc>
        <w:tc>
          <w:tcPr>
            <w:tcW w:type="dxa" w:w="2239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/>
                <w:i w:val="0"/>
                <w:sz w:val="18"/>
              </w:rPr>
              <w:t>可做</w:t>
            </w:r>
          </w:p>
        </w:tc>
        <w:tc>
          <w:tcPr>
            <w:tcW w:type="dxa" w:w="2239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/>
                <w:i w:val="0"/>
                <w:sz w:val="18"/>
              </w:rPr>
              <w:t>不可做</w:t>
            </w:r>
          </w:p>
        </w:tc>
      </w:tr>
      <w:tr>
        <w:tc>
          <w:tcPr>
            <w:tcW w:type="dxa" w:w="2239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制单</w:t>
            </w:r>
          </w:p>
        </w:tc>
        <w:tc>
          <w:tcPr>
            <w:tcW w:type="dxa" w:w="2239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张嘉莉</w:t>
            </w:r>
          </w:p>
        </w:tc>
        <w:tc>
          <w:tcPr>
            <w:tcW w:type="dxa" w:w="2239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根据审核后的原始凭证编制记账凭证</w:t>
            </w:r>
          </w:p>
        </w:tc>
        <w:tc>
          <w:tcPr>
            <w:tcW w:type="dxa" w:w="2239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审核本人编制的凭证；保管库存现金和银行印鉴</w:t>
            </w:r>
          </w:p>
        </w:tc>
      </w:tr>
      <w:tr>
        <w:tc>
          <w:tcPr>
            <w:tcW w:type="dxa" w:w="2239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审核</w:t>
            </w:r>
          </w:p>
        </w:tc>
        <w:tc>
          <w:tcPr>
            <w:tcW w:type="dxa" w:w="2239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张思怡</w:t>
            </w:r>
          </w:p>
        </w:tc>
        <w:tc>
          <w:tcPr>
            <w:tcW w:type="dxa" w:w="2239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审核记账凭证与原始凭证；会计主管日常复核</w:t>
            </w:r>
          </w:p>
        </w:tc>
        <w:tc>
          <w:tcPr>
            <w:tcW w:type="dxa" w:w="2239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兼任出纳；与制单共用账号</w:t>
            </w:r>
          </w:p>
        </w:tc>
      </w:tr>
      <w:tr>
        <w:tc>
          <w:tcPr>
            <w:tcW w:type="dxa" w:w="2239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出纳</w:t>
            </w:r>
          </w:p>
        </w:tc>
        <w:tc>
          <w:tcPr>
            <w:tcW w:type="dxa" w:w="2239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王慧敏</w:t>
            </w:r>
          </w:p>
        </w:tc>
        <w:tc>
          <w:tcPr>
            <w:tcW w:type="dxa" w:w="2239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办理收付款、登记现金和银行存款日记账</w:t>
            </w:r>
          </w:p>
        </w:tc>
        <w:tc>
          <w:tcPr>
            <w:tcW w:type="dxa" w:w="2239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兼管稽核、会计档案、收入费用债权债务账目登记</w:t>
            </w:r>
          </w:p>
        </w:tc>
      </w:tr>
    </w:tbl>
    <w:p>
      <w:pPr>
        <w:spacing w:before="0" w:after="160" w:lineRule="exact" w:line="200"/>
        <w:ind w:firstLine="0"/>
      </w:pPr>
    </w:p>
    <w:p>
      <w:pPr>
        <w:spacing w:before="0" w:after="12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重大资金调度、资产处置由单位负责人审批，财务人员不得既经办又终审。</w:t>
      </w:r>
    </w:p>
    <w:p>
      <w:pPr>
        <w:spacing w:before="240" w:after="120" w:lineRule="exact" w:line="480"/>
        <w:ind w:firstLine="0"/>
      </w:pPr>
      <w:r>
        <w:rPr>
          <w:rFonts w:ascii="Times New Roman" w:hAnsi="Times New Roman" w:eastAsia="SimHei"/>
          <w:b/>
          <w:i w:val="0"/>
          <w:sz w:val="32"/>
        </w:rPr>
        <w:t>二、审签与结账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1. 未经审核的记账凭证不得记账，不得结账。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2. 已审核凭证不得无痕迹改写。需更正的，按国家统一的会计制度办理，并在系统中留痕。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3. 出纳付款须凭已审签的付款单据。未入账的电子发票、网银回单不得仅以截图代替。</w:t>
      </w:r>
    </w:p>
    <w:p>
      <w:pPr>
        <w:spacing w:before="240" w:after="120" w:lineRule="exact" w:line="480"/>
        <w:ind w:firstLine="0"/>
      </w:pPr>
      <w:r>
        <w:rPr>
          <w:rFonts w:ascii="Times New Roman" w:hAnsi="Times New Roman" w:eastAsia="SimHei"/>
          <w:b/>
          <w:i w:val="0"/>
          <w:sz w:val="32"/>
        </w:rPr>
        <w:t>三、财产清查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1. 库存现金：出纳日清月结，会计主管每月至少监盘一次。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2. 银行存款：每月编制银行存款余额调节表，调节后核对相符。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3. 往来与存货：每季度抽查，年度全面清查。账实不符先查明原因，再按准则处理。</w:t>
      </w:r>
    </w:p>
    <w:p>
      <w:pPr>
        <w:spacing w:before="240" w:after="120" w:lineRule="exact" w:line="480"/>
        <w:ind w:firstLine="0"/>
      </w:pPr>
      <w:r>
        <w:rPr>
          <w:rFonts w:ascii="Times New Roman" w:hAnsi="Times New Roman" w:eastAsia="SimHei"/>
          <w:b/>
          <w:i w:val="0"/>
          <w:sz w:val="32"/>
        </w:rPr>
        <w:t>四、内部审计与资料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1. 会计资料至少每年内部检查一次。人员少时，可由单位负责人指定非出纳人员交叉复核，或聘请外部机构专项检查。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2. 检查范围包括：是否依法建账、凭证审核是否到位、一人一号是否落实、电子资料是否入账归档。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3. 检查记录归档保存。</w:t>
      </w:r>
    </w:p>
    <w:p>
      <w:pPr>
        <w:spacing w:before="240" w:after="120" w:lineRule="exact" w:line="480"/>
        <w:ind w:firstLine="0"/>
      </w:pPr>
      <w:r>
        <w:rPr>
          <w:rFonts w:ascii="Times New Roman" w:hAnsi="Times New Roman" w:eastAsia="SimHei"/>
          <w:b/>
          <w:i w:val="0"/>
          <w:sz w:val="32"/>
        </w:rPr>
        <w:t>五、临时代岗</w:t>
      </w:r>
    </w:p>
    <w:p>
      <w:pPr>
        <w:spacing w:before="0" w:after="12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审核人员请假时，可由单位负责人书面指定临时代审，事后由原审核人员抽查。不得因此改为「三人共用一个管理员号」。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1" w:right="1474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KaiTi"/>
        <w:b w:val="0"/>
        <w:i w:val="0"/>
        <w:color w:val="6B5D7A"/>
        <w:sz w:val="16"/>
      </w:rPr>
      <w:t>教学转写文本，引用请与全国人大、财政部、国务院公报正式文本核对。　扬州职业技术大学经贸学院吴强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KaiTi"/>
        <w:b w:val="0"/>
        <w:i w:val="0"/>
        <w:color w:val="6B5D7A"/>
        <w:sz w:val="18"/>
      </w:rPr>
      <w:t>会计信息化 · 实施规范　图4-1 第5层　企业自身规范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FangSong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九点圆科技内部会计监督制度要点</dc:title>
  <dc:subject>会计信息化实施规范 · 图4-1 第5层</dc:subject>
  <dc:creator>扬州职业技术大学经贸学院吴强</dc:creator>
  <cp:keywords/>
  <dc:description>据公开政府网站转写，供教材与课堂对照。定稿或对外引用须核对正式文本。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